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/>
        <w:ind w:left="0" w:right="0"/>
        <w:jc w:val="center"/>
      </w:pPr>
      <w:r>
        <w:rPr>
          <w:shd w:val="clear" w:fill="F5F5F5"/>
        </w:rPr>
        <w:t>水利部办公厅关于调整水利工程计价依据增值税计算标准的通知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5F5F5"/>
        <w:spacing w:before="0" w:beforeAutospacing="0" w:after="226" w:afterAutospacing="0"/>
        <w:ind w:left="0" w:right="0"/>
        <w:jc w:val="left"/>
        <w:rPr>
          <w:sz w:val="22"/>
          <w:szCs w:val="22"/>
        </w:rPr>
      </w:pP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instrText xml:space="preserve"> HYPERLINK "http://www.mwr.gov.cn/zw/tzgg/tzgs/201904/javascript:doweibo();" \o "分享到新浪微博" </w:instrText>
      </w: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fldChar w:fldCharType="end"/>
      </w: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instrText xml:space="preserve"> HYPERLINK "http://www.mwr.gov.cn/zw/tzgg/tzgs/201904/" \o "分享到微信" </w:instrText>
      </w: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2"/>
          <w:szCs w:val="22"/>
          <w:u w:val="none"/>
          <w:shd w:val="clear" w:fill="F5F5F5"/>
          <w:lang w:val="en-US" w:eastAsia="zh-CN" w:bidi="ar"/>
        </w:rPr>
        <w:fldChar w:fldCharType="end"/>
      </w:r>
      <w:r>
        <w:rPr>
          <w:rStyle w:val="16"/>
          <w:rFonts w:ascii="宋体" w:hAnsi="宋体" w:eastAsia="宋体" w:cs="宋体"/>
          <w:sz w:val="22"/>
          <w:szCs w:val="22"/>
          <w:shd w:val="clear" w:fill="F5F5F5"/>
          <w:lang w:val="en-US" w:eastAsia="zh-CN" w:bidi="ar"/>
        </w:rPr>
        <w:t xml:space="preserve">【字体：  大  中  小 】     </w:t>
      </w:r>
      <w:r>
        <w:rPr>
          <w:rFonts w:ascii="宋体" w:hAnsi="宋体" w:eastAsia="宋体" w:cs="宋体"/>
          <w:color w:val="auto"/>
          <w:sz w:val="22"/>
          <w:szCs w:val="22"/>
          <w:u w:val="none"/>
          <w:shd w:val="clear" w:fill="F5F5F5"/>
        </w:rPr>
        <w:drawing>
          <wp:inline distT="0" distB="0" distL="114300" distR="114300">
            <wp:extent cx="200025" cy="171450"/>
            <wp:effectExtent l="0" t="0" r="9525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6"/>
          <w:rFonts w:ascii="宋体" w:hAnsi="宋体" w:eastAsia="宋体" w:cs="宋体"/>
          <w:sz w:val="22"/>
          <w:szCs w:val="22"/>
          <w:shd w:val="clear" w:fill="F5F5F5"/>
          <w:lang w:val="en-US" w:eastAsia="zh-CN" w:bidi="ar"/>
        </w:rPr>
        <w:fldChar w:fldCharType="begin"/>
      </w:r>
      <w:r>
        <w:rPr>
          <w:rStyle w:val="16"/>
          <w:rFonts w:ascii="宋体" w:hAnsi="宋体" w:eastAsia="宋体" w:cs="宋体"/>
          <w:sz w:val="22"/>
          <w:szCs w:val="22"/>
          <w:shd w:val="clear" w:fill="F5F5F5"/>
          <w:lang w:val="en-US" w:eastAsia="zh-CN" w:bidi="ar"/>
        </w:rPr>
        <w:instrText xml:space="preserve"> HYPERLINK "http://www.mwr.gov.cn/zw/tzgg/tzgs/201904/javascript:window.print();" </w:instrText>
      </w:r>
      <w:r>
        <w:rPr>
          <w:rStyle w:val="16"/>
          <w:rFonts w:ascii="宋体" w:hAnsi="宋体" w:eastAsia="宋体" w:cs="宋体"/>
          <w:sz w:val="22"/>
          <w:szCs w:val="22"/>
          <w:shd w:val="clear" w:fill="F5F5F5"/>
          <w:lang w:val="en-US" w:eastAsia="zh-CN" w:bidi="ar"/>
        </w:rPr>
        <w:fldChar w:fldCharType="separate"/>
      </w:r>
      <w:r>
        <w:rPr>
          <w:rStyle w:val="11"/>
          <w:rFonts w:ascii="宋体" w:hAnsi="宋体" w:eastAsia="宋体" w:cs="宋体"/>
          <w:sz w:val="22"/>
          <w:szCs w:val="22"/>
          <w:shd w:val="clear" w:fill="F5F5F5"/>
        </w:rPr>
        <w:t>打印</w:t>
      </w:r>
      <w:r>
        <w:rPr>
          <w:rStyle w:val="16"/>
          <w:rFonts w:ascii="宋体" w:hAnsi="宋体" w:eastAsia="宋体" w:cs="宋体"/>
          <w:sz w:val="22"/>
          <w:szCs w:val="22"/>
          <w:shd w:val="clear" w:fill="F5F5F5"/>
          <w:lang w:val="en-US" w:eastAsia="zh-CN" w:bidi="ar"/>
        </w:rPr>
        <w:fldChar w:fldCharType="end"/>
      </w:r>
      <w:r>
        <w:rPr>
          <w:rStyle w:val="16"/>
          <w:rFonts w:ascii="宋体" w:hAnsi="宋体" w:eastAsia="宋体" w:cs="宋体"/>
          <w:sz w:val="22"/>
          <w:szCs w:val="22"/>
          <w:shd w:val="clear" w:fill="F5F5F5"/>
          <w:lang w:val="en-US" w:eastAsia="zh-CN" w:bidi="ar"/>
        </w:rPr>
        <w:t xml:space="preserve">     </w:t>
      </w:r>
      <w:r>
        <w:rPr>
          <w:rStyle w:val="17"/>
          <w:rFonts w:ascii="宋体" w:hAnsi="宋体" w:eastAsia="宋体" w:cs="宋体"/>
          <w:sz w:val="22"/>
          <w:szCs w:val="22"/>
          <w:shd w:val="clear" w:fill="F5F5F5"/>
          <w:lang w:val="en-US" w:eastAsia="zh-CN" w:bidi="ar"/>
        </w:rPr>
        <w:t xml:space="preserve">2019-04-11 15:19     </w:t>
      </w:r>
      <w:r>
        <w:rPr>
          <w:rFonts w:hint="default" w:ascii="宋体" w:hAnsi="宋体" w:eastAsia="宋体" w:cs="宋体"/>
          <w:kern w:val="0"/>
          <w:sz w:val="22"/>
          <w:szCs w:val="22"/>
          <w:shd w:val="clear" w:fill="F5F5F5"/>
          <w:lang w:val="en-US" w:eastAsia="zh-CN" w:bidi="ar"/>
        </w:rPr>
        <w:t xml:space="preserve">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  <w:jc w:val="center"/>
      </w:pPr>
      <w:bookmarkStart w:id="0" w:name="_GoBack"/>
      <w:r>
        <w:rPr>
          <w:sz w:val="22"/>
          <w:szCs w:val="22"/>
          <w:shd w:val="clear" w:fill="F5F5F5"/>
        </w:rPr>
        <w:t>办财务函〔2019〕448 号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部直属各单位，各省（自治区、直辖市）水利(水务)厅(局)，各计划单列市水利(水务)局，新疆生产建设兵团水利局：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根据《财政部 税务总局海关总署关于深化增值税改革有关政策的公告》（财政部 税务总局 海关总署公告2019年第39号），现将《水利工程营业税改征增值税计价依据调整办法》（办水总〔2016〕132号）中的增值税计算标准调整如下：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一、工程部分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1．施工机械台时费定额的折旧费除以1.13调整系数，修理及替换设备费除以1.09调整系数。掘进机及其他由建设单位采购、设备费单独列项的施工机械，设备费采用不含增值税进项税额的价格。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2．建筑及安装工程费的税金税率为9%。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3．以费率形式表示的安装工程定额，装置性材料费费率除以1.13调整系数。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4．编制概（估）算文件时，材料价格采用不含增值税进项税额的价格。主要材料适用税率为13%，次要材料及其他材料计算方法暂不调整。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二、水土保持工程部分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1．施工机械台时费定额的折旧费除以1.13调整系数，修理及替换设备费除以1.09调整系数。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2．税金税率为9%。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</w:pPr>
      <w:r>
        <w:rPr>
          <w:sz w:val="22"/>
          <w:szCs w:val="22"/>
          <w:shd w:val="clear" w:fill="F5F5F5"/>
        </w:rPr>
        <w:t>　　以上计算标准自2019年4月1日起执行。各省（自治区、直辖市）可结合本地区计价依据管理的实际情况，调整增值税计算标准。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  <w:jc w:val="right"/>
      </w:pPr>
      <w:r>
        <w:rPr>
          <w:sz w:val="22"/>
          <w:szCs w:val="22"/>
          <w:shd w:val="clear" w:fill="F5F5F5"/>
        </w:rPr>
        <w:t>　　水利部办公厅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436" w:afterAutospacing="0"/>
        <w:ind w:left="0" w:right="0" w:firstLine="0"/>
        <w:jc w:val="right"/>
      </w:pPr>
      <w:r>
        <w:rPr>
          <w:sz w:val="22"/>
          <w:szCs w:val="22"/>
          <w:shd w:val="clear" w:fill="F5F5F5"/>
        </w:rPr>
        <w:t>　　2019年4月4日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31235"/>
    <w:rsid w:val="530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FF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ico"/>
    <w:basedOn w:val="5"/>
    <w:uiPriority w:val="0"/>
  </w:style>
  <w:style w:type="character" w:customStyle="1" w:styleId="15">
    <w:name w:val="li_txt"/>
    <w:basedOn w:val="5"/>
    <w:uiPriority w:val="0"/>
  </w:style>
  <w:style w:type="character" w:customStyle="1" w:styleId="16">
    <w:name w:val="fr1"/>
    <w:basedOn w:val="5"/>
    <w:uiPriority w:val="0"/>
  </w:style>
  <w:style w:type="character" w:customStyle="1" w:styleId="17">
    <w:name w:val="fl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www.mwr.gov.cn/zw/tzgg/tzgs/201904/javascript:window.print()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2019-04-12T08:19:00Z</dcterms:created>
  <dc:creator>lenovo-john</dc:creator>
  <cp:lastModifiedBy>lenovo-john</cp:lastModifiedBy>
  <dcterms:modified xsi:type="dcterms:W3CDTF">2019-04-12T08:21:29Z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